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0" w:lineRule="atLeast"/>
        <w:jc w:val="center"/>
        <w:rPr>
          <w:rFonts w:ascii="Arial" w:hAnsi="Arial" w:eastAsia="宋体" w:cs="Arial"/>
          <w:color w:val="222222"/>
          <w:kern w:val="0"/>
          <w:sz w:val="44"/>
          <w:szCs w:val="44"/>
        </w:rPr>
      </w:pPr>
      <w:r>
        <w:rPr>
          <w:rFonts w:ascii="Arial" w:hAnsi="Arial" w:eastAsia="宋体" w:cs="Arial"/>
          <w:color w:val="222222"/>
          <w:kern w:val="0"/>
          <w:sz w:val="44"/>
          <w:szCs w:val="44"/>
        </w:rPr>
        <w:t>广东</w:t>
      </w:r>
      <w:r>
        <w:rPr>
          <w:rFonts w:hint="eastAsia" w:ascii="Arial" w:hAnsi="Arial" w:eastAsia="宋体" w:cs="Arial"/>
          <w:color w:val="222222"/>
          <w:kern w:val="0"/>
          <w:sz w:val="44"/>
          <w:szCs w:val="44"/>
          <w:lang w:val="en-US" w:eastAsia="zh-CN"/>
        </w:rPr>
        <w:t>揭阳</w:t>
      </w:r>
      <w:r>
        <w:rPr>
          <w:rFonts w:ascii="Arial" w:hAnsi="Arial" w:eastAsia="宋体" w:cs="Arial"/>
          <w:color w:val="222222"/>
          <w:kern w:val="0"/>
          <w:sz w:val="44"/>
          <w:szCs w:val="44"/>
        </w:rPr>
        <w:t>农村商业银行股份有限公司</w:t>
      </w:r>
    </w:p>
    <w:p>
      <w:pPr>
        <w:widowControl/>
        <w:shd w:val="clear" w:color="auto" w:fill="FFFFFF"/>
        <w:spacing w:line="510" w:lineRule="atLeast"/>
        <w:jc w:val="center"/>
        <w:rPr>
          <w:rFonts w:hint="default" w:ascii="Arial" w:hAnsi="Arial" w:eastAsia="宋体" w:cs="Arial"/>
          <w:color w:val="222222"/>
          <w:kern w:val="0"/>
          <w:sz w:val="44"/>
          <w:szCs w:val="44"/>
          <w:lang w:val="en-US" w:eastAsia="zh-CN"/>
        </w:rPr>
      </w:pPr>
      <w:r>
        <w:rPr>
          <w:rFonts w:ascii="Arial" w:hAnsi="Arial" w:eastAsia="宋体" w:cs="Arial"/>
          <w:color w:val="222222"/>
          <w:kern w:val="0"/>
          <w:sz w:val="44"/>
          <w:szCs w:val="44"/>
        </w:rPr>
        <w:t>关于关联交易事项的公告</w:t>
      </w:r>
      <w:r>
        <w:rPr>
          <w:rFonts w:hint="eastAsia" w:ascii="Arial" w:hAnsi="Arial" w:eastAsia="宋体" w:cs="Arial"/>
          <w:color w:val="222222"/>
          <w:kern w:val="0"/>
          <w:sz w:val="44"/>
          <w:szCs w:val="44"/>
          <w:lang w:eastAsia="zh-CN"/>
        </w:rPr>
        <w:t>（</w:t>
      </w:r>
      <w:r>
        <w:rPr>
          <w:rFonts w:hint="eastAsia" w:ascii="Arial" w:hAnsi="Arial" w:eastAsia="宋体" w:cs="Arial"/>
          <w:color w:val="222222"/>
          <w:kern w:val="0"/>
          <w:sz w:val="44"/>
          <w:szCs w:val="44"/>
          <w:lang w:val="en-US" w:eastAsia="zh-CN"/>
        </w:rPr>
        <w:t>九）</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仿宋_GB2312" w:hAnsi="Arial" w:eastAsia="仿宋_GB2312" w:cs="Arial"/>
          <w:color w:val="424242"/>
          <w:kern w:val="0"/>
          <w:sz w:val="32"/>
          <w:szCs w:val="32"/>
        </w:rPr>
        <w:t>根据《银行保险机构关联交易管理办法》（中国银行保险监督管理委员会令〔2022〕1 号）第五十三条和第五十六条规定，广东</w:t>
      </w:r>
      <w:r>
        <w:rPr>
          <w:rFonts w:hint="eastAsia" w:ascii="仿宋_GB2312" w:hAnsi="Arial" w:eastAsia="仿宋_GB2312" w:cs="Arial"/>
          <w:color w:val="424242"/>
          <w:kern w:val="0"/>
          <w:sz w:val="32"/>
          <w:szCs w:val="32"/>
          <w:lang w:val="en-US" w:eastAsia="zh-CN"/>
        </w:rPr>
        <w:t>揭阳</w:t>
      </w:r>
      <w:r>
        <w:rPr>
          <w:rFonts w:hint="eastAsia" w:ascii="仿宋_GB2312" w:hAnsi="Arial" w:eastAsia="仿宋_GB2312" w:cs="Arial"/>
          <w:color w:val="424242"/>
          <w:kern w:val="0"/>
          <w:sz w:val="32"/>
          <w:szCs w:val="32"/>
        </w:rPr>
        <w:t>农村商业银行股份有限公司（以下简称“本行”）就重大关联交易信息披露如下：</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rPr>
        <w:t>一、关联交易概述及交易标的</w:t>
      </w:r>
    </w:p>
    <w:p>
      <w:pPr>
        <w:widowControl/>
        <w:shd w:val="clear" w:color="auto" w:fill="FFFFFF"/>
        <w:spacing w:line="570" w:lineRule="atLeast"/>
        <w:ind w:firstLine="640"/>
        <w:jc w:val="both"/>
        <w:rPr>
          <w:rFonts w:hint="eastAsia" w:ascii="仿宋_GB2312" w:hAnsi="Arial" w:eastAsia="仿宋_GB2312" w:cs="Arial"/>
          <w:color w:val="424242"/>
          <w:kern w:val="0"/>
          <w:sz w:val="32"/>
          <w:szCs w:val="32"/>
        </w:rPr>
      </w:pPr>
      <w:r>
        <w:rPr>
          <w:rFonts w:hint="eastAsia" w:ascii="仿宋_GB2312" w:hAnsi="Arial" w:eastAsia="仿宋_GB2312" w:cs="Arial"/>
          <w:color w:val="424242"/>
          <w:kern w:val="0"/>
          <w:sz w:val="32"/>
          <w:szCs w:val="32"/>
        </w:rPr>
        <w:t>本次关联交易主要内容为同意</w:t>
      </w:r>
      <w:r>
        <w:rPr>
          <w:rFonts w:hint="eastAsia" w:ascii="仿宋_GB2312" w:hAnsi="Arial" w:eastAsia="仿宋_GB2312" w:cs="Arial"/>
          <w:color w:val="424242"/>
          <w:kern w:val="0"/>
          <w:sz w:val="32"/>
          <w:szCs w:val="32"/>
          <w:lang w:val="en-US" w:eastAsia="zh-CN"/>
        </w:rPr>
        <w:t>广东电建工程有限公司贷款6000万元</w:t>
      </w:r>
      <w:r>
        <w:rPr>
          <w:rFonts w:hint="eastAsia" w:ascii="仿宋_GB2312" w:hAnsi="Arial" w:eastAsia="仿宋_GB2312" w:cs="Arial"/>
          <w:color w:val="424242"/>
          <w:kern w:val="0"/>
          <w:sz w:val="32"/>
          <w:szCs w:val="32"/>
        </w:rPr>
        <w:t>，期限</w:t>
      </w:r>
      <w:r>
        <w:rPr>
          <w:rFonts w:hint="eastAsia" w:ascii="仿宋_GB2312" w:hAnsi="Arial" w:eastAsia="仿宋_GB2312" w:cs="Arial"/>
          <w:color w:val="424242"/>
          <w:kern w:val="0"/>
          <w:sz w:val="32"/>
          <w:szCs w:val="32"/>
          <w:lang w:val="en-US" w:eastAsia="zh-CN"/>
        </w:rPr>
        <w:t>3年，担保方式为抵押</w:t>
      </w:r>
      <w:r>
        <w:rPr>
          <w:rFonts w:hint="eastAsia" w:ascii="仿宋_GB2312" w:hAnsi="Arial" w:eastAsia="仿宋_GB2312" w:cs="Arial"/>
          <w:color w:val="424242"/>
          <w:kern w:val="0"/>
          <w:sz w:val="32"/>
          <w:szCs w:val="32"/>
        </w:rPr>
        <w:t>。</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rPr>
        <w:t>二、关联方介绍</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楷体" w:hAnsi="楷体" w:eastAsia="楷体" w:cs="Arial"/>
          <w:color w:val="424242"/>
          <w:kern w:val="0"/>
          <w:sz w:val="32"/>
          <w:szCs w:val="32"/>
        </w:rPr>
        <w:t>（一）关联方关系介绍。</w:t>
      </w:r>
    </w:p>
    <w:p>
      <w:pPr>
        <w:widowControl/>
        <w:shd w:val="clear" w:color="auto" w:fill="FFFFFF"/>
        <w:spacing w:line="570" w:lineRule="atLeast"/>
        <w:ind w:firstLine="64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广东电建工程有限公司的实际控制人为黄奕鹏，与本行主要股东广东省揭阳电力房地产开发有限公司的实际控制人为同一人，因此广东电建工程有限公司属于本行关联方。</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楷体" w:hAnsi="楷体" w:eastAsia="楷体" w:cs="Arial"/>
          <w:color w:val="424242"/>
          <w:kern w:val="0"/>
          <w:sz w:val="32"/>
          <w:szCs w:val="32"/>
        </w:rPr>
        <w:t>（二）关联人基本情</w:t>
      </w:r>
      <w:bookmarkStart w:id="0" w:name="_GoBack"/>
      <w:bookmarkEnd w:id="0"/>
      <w:r>
        <w:rPr>
          <w:rFonts w:hint="eastAsia" w:ascii="楷体" w:hAnsi="楷体" w:eastAsia="楷体" w:cs="Arial"/>
          <w:color w:val="424242"/>
          <w:kern w:val="0"/>
          <w:sz w:val="32"/>
          <w:szCs w:val="32"/>
        </w:rPr>
        <w:t>况。</w:t>
      </w:r>
    </w:p>
    <w:p>
      <w:pPr>
        <w:widowControl/>
        <w:shd w:val="clear" w:color="auto" w:fill="FFFFFF"/>
        <w:spacing w:line="570" w:lineRule="atLeast"/>
        <w:ind w:firstLine="640"/>
        <w:jc w:val="both"/>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广东电建工程有限公司，</w:t>
      </w:r>
      <w:r>
        <w:rPr>
          <w:rFonts w:hint="eastAsia" w:ascii="仿宋_GB2312" w:hAnsi="Arial" w:eastAsia="仿宋_GB2312" w:cs="Arial"/>
          <w:color w:val="auto"/>
          <w:kern w:val="0"/>
          <w:sz w:val="32"/>
          <w:szCs w:val="32"/>
          <w:lang w:val="en-US" w:eastAsia="zh-CN"/>
        </w:rPr>
        <w:t>性质为有限责任公司（自然人独资）</w:t>
      </w:r>
      <w:r>
        <w:rPr>
          <w:rFonts w:hint="eastAsia" w:ascii="仿宋_GB2312" w:hAnsi="仿宋_GB2312" w:eastAsia="仿宋_GB2312"/>
          <w:sz w:val="32"/>
          <w:szCs w:val="32"/>
          <w:lang w:eastAsia="zh-CN"/>
        </w:rPr>
        <w:t>，经营范围：许可项目：建设工程施工；建筑工程设计；住宅室内装饰装修；建筑智能化系统设计；输电、供电、受电力设施的安装、维修和试验；建筑劳务分包。一般项目：对外承包工程；广告设计、代理；广告制作；广告发布；园林绿化工程施工。</w:t>
      </w:r>
      <w:r>
        <w:rPr>
          <w:rFonts w:hint="eastAsia" w:ascii="仿宋_GB2312" w:hAnsi="仿宋_GB2312" w:eastAsia="仿宋_GB2312"/>
          <w:sz w:val="32"/>
          <w:szCs w:val="32"/>
          <w:lang w:val="en-US" w:eastAsia="zh-CN"/>
        </w:rPr>
        <w:t>法定代表人：</w:t>
      </w:r>
      <w:r>
        <w:rPr>
          <w:rFonts w:hint="eastAsia" w:ascii="仿宋_GB2312" w:hAnsi="仿宋_GB2312" w:eastAsia="仿宋_GB2312"/>
          <w:sz w:val="32"/>
          <w:szCs w:val="32"/>
          <w:lang w:eastAsia="zh-CN"/>
        </w:rPr>
        <w:t>孙森楠，该公司注册资本：13800万元，</w:t>
      </w:r>
      <w:r>
        <w:rPr>
          <w:rFonts w:hint="eastAsia" w:ascii="仿宋_GB2312" w:hAnsi="Calibri" w:eastAsia="仿宋_GB2312" w:cs="Times New Roman"/>
          <w:sz w:val="32"/>
          <w:szCs w:val="32"/>
          <w:lang w:val="en-US" w:eastAsia="zh-CN"/>
        </w:rPr>
        <w:t>报告期内注册资本没变化。</w:t>
      </w:r>
      <w:r>
        <w:rPr>
          <w:rFonts w:hint="eastAsia" w:ascii="仿宋_GB2312" w:hAnsi="仿宋_GB2312" w:eastAsia="仿宋_GB2312"/>
          <w:sz w:val="32"/>
          <w:szCs w:val="32"/>
          <w:lang w:val="en-US" w:eastAsia="zh-CN"/>
        </w:rPr>
        <w:t>注册</w:t>
      </w:r>
      <w:r>
        <w:rPr>
          <w:rFonts w:hint="eastAsia" w:ascii="仿宋_GB2312" w:hAnsi="仿宋_GB2312" w:eastAsia="仿宋_GB2312"/>
          <w:sz w:val="32"/>
          <w:szCs w:val="32"/>
          <w:lang w:eastAsia="zh-CN"/>
        </w:rPr>
        <w:t>地址：揭阳市东山区临江北路金润帝豪湾附楼二层</w:t>
      </w:r>
      <w:r>
        <w:rPr>
          <w:rFonts w:hint="eastAsia" w:ascii="仿宋_GB2312" w:hAnsi="仿宋_GB2312" w:eastAsia="仿宋_GB2312"/>
          <w:sz w:val="32"/>
          <w:szCs w:val="32"/>
          <w:lang w:val="en-US" w:eastAsia="zh-CN"/>
        </w:rPr>
        <w:t>。该公司</w:t>
      </w:r>
      <w:r>
        <w:rPr>
          <w:rFonts w:hint="eastAsia" w:ascii="仿宋_GB2312" w:hAnsi="仿宋_GB2312" w:eastAsia="仿宋_GB2312"/>
          <w:sz w:val="32"/>
          <w:szCs w:val="32"/>
          <w:lang w:eastAsia="zh-CN"/>
        </w:rPr>
        <w:t>原股东是黄奕鹏、黄叙鹏、黄少鹏，2024年8月12日，公司变更股东结构，变更后黄奕鹏持股100%，</w:t>
      </w:r>
      <w:r>
        <w:rPr>
          <w:rFonts w:hint="eastAsia" w:ascii="仿宋_GB2312" w:hAnsi="仿宋_GB2312" w:eastAsia="仿宋_GB2312"/>
          <w:sz w:val="32"/>
          <w:szCs w:val="32"/>
          <w:lang w:val="en-US" w:eastAsia="zh-CN"/>
        </w:rPr>
        <w:t>该</w:t>
      </w:r>
      <w:r>
        <w:rPr>
          <w:rFonts w:hint="eastAsia" w:ascii="仿宋_GB2312" w:hAnsi="仿宋_GB2312" w:eastAsia="仿宋_GB2312"/>
          <w:sz w:val="32"/>
          <w:szCs w:val="32"/>
          <w:lang w:eastAsia="zh-CN"/>
        </w:rPr>
        <w:t>公司由有限责任公司（自然人投资或控股）变更为有限责任公司（自然人独资）。</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rPr>
        <w:t>三、关联交易的定价政策</w:t>
      </w:r>
    </w:p>
    <w:p>
      <w:pPr>
        <w:widowControl/>
        <w:shd w:val="clear" w:color="auto" w:fill="FFFFFF"/>
        <w:spacing w:line="570" w:lineRule="atLeast"/>
        <w:ind w:firstLine="64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本行与广东电建工程有限公司的关联交易按一般的商业条款原则进行，遵循利率政策以及本行同类产品定价相关管理制度，以不优于对非关联方同类交易的条件，关联交易价格公允，并遵循公平公正原则。</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rPr>
        <w:t>四、关联交易金额及比例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本次与</w:t>
      </w:r>
      <w:r>
        <w:rPr>
          <w:rFonts w:hint="eastAsia" w:ascii="仿宋_GB2312" w:hAnsi="仿宋" w:eastAsia="仿宋_GB2312" w:cs="仿宋_GB2312"/>
          <w:color w:val="auto"/>
          <w:kern w:val="0"/>
          <w:sz w:val="32"/>
          <w:szCs w:val="32"/>
          <w:lang w:val="en-US" w:eastAsia="zh-CN"/>
        </w:rPr>
        <w:t>广东电建工程有限公司</w:t>
      </w:r>
      <w:r>
        <w:rPr>
          <w:rFonts w:hint="eastAsia" w:ascii="仿宋_GB2312" w:hAnsi="Calibri" w:eastAsia="仿宋_GB2312" w:cs="Times New Roman"/>
          <w:color w:val="auto"/>
          <w:sz w:val="32"/>
          <w:szCs w:val="32"/>
          <w:lang w:val="en-US" w:eastAsia="zh-CN"/>
        </w:rPr>
        <w:t>的单笔交易金额为6000万元，单笔交易金额占本行上季末资本净额的3.95%，属于重大关联交易。</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lang w:val="en-US" w:eastAsia="zh-CN"/>
        </w:rPr>
        <w:t>五</w:t>
      </w:r>
      <w:r>
        <w:rPr>
          <w:rFonts w:hint="eastAsia" w:ascii="黑体" w:hAnsi="黑体" w:eastAsia="黑体" w:cs="Arial"/>
          <w:color w:val="424242"/>
          <w:kern w:val="0"/>
          <w:sz w:val="32"/>
          <w:szCs w:val="32"/>
        </w:rPr>
        <w:t>、</w:t>
      </w:r>
      <w:r>
        <w:rPr>
          <w:rFonts w:hint="eastAsia" w:ascii="黑体" w:hAnsi="黑体" w:eastAsia="黑体" w:cs="Arial"/>
          <w:color w:val="424242"/>
          <w:kern w:val="0"/>
          <w:sz w:val="32"/>
          <w:szCs w:val="32"/>
          <w:lang w:val="en-US" w:eastAsia="zh-CN"/>
        </w:rPr>
        <w:t>有关决议</w:t>
      </w:r>
      <w:r>
        <w:rPr>
          <w:rFonts w:hint="eastAsia" w:ascii="黑体" w:hAnsi="黑体" w:eastAsia="黑体" w:cs="Arial"/>
          <w:color w:val="424242"/>
          <w:kern w:val="0"/>
          <w:sz w:val="32"/>
          <w:szCs w:val="32"/>
        </w:rPr>
        <w:t>程序</w:t>
      </w:r>
    </w:p>
    <w:p>
      <w:pPr>
        <w:widowControl/>
        <w:shd w:val="clear" w:color="auto" w:fill="FFFFFF"/>
        <w:spacing w:line="570" w:lineRule="atLeast"/>
        <w:ind w:firstLine="64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本次关联交易经董事会关联交易控制委员会审查通过，并经第四届董事会第十五次（临时）会议审批通过。</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黑体" w:hAnsi="黑体" w:eastAsia="黑体" w:cs="Arial"/>
          <w:color w:val="424242"/>
          <w:kern w:val="0"/>
          <w:sz w:val="32"/>
          <w:szCs w:val="32"/>
          <w:lang w:val="en-US" w:eastAsia="zh-CN"/>
        </w:rPr>
        <w:t>六</w:t>
      </w:r>
      <w:r>
        <w:rPr>
          <w:rFonts w:hint="eastAsia" w:ascii="黑体" w:hAnsi="黑体" w:eastAsia="黑体" w:cs="Arial"/>
          <w:color w:val="424242"/>
          <w:kern w:val="0"/>
          <w:sz w:val="32"/>
          <w:szCs w:val="32"/>
        </w:rPr>
        <w:t>、独立董事意见</w:t>
      </w:r>
    </w:p>
    <w:p>
      <w:pPr>
        <w:widowControl/>
        <w:shd w:val="clear" w:color="auto" w:fill="FFFFFF"/>
        <w:spacing w:line="570" w:lineRule="atLeast"/>
        <w:ind w:firstLine="640"/>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本行全体独立董事对上述关联交易发表意见如下：</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仿宋_GB2312" w:hAnsi="Calibri" w:eastAsia="仿宋_GB2312" w:cs="Times New Roman"/>
          <w:sz w:val="32"/>
          <w:szCs w:val="32"/>
          <w:lang w:val="en-US" w:eastAsia="zh-CN"/>
        </w:rPr>
        <w:t>本行与广东电建工程有限公司6000万元人民币的关联交易属于本行正常业务，定价以不优于对非关联方同类交易的条件进行；符合监管部门的规定，符合《广东揭阳农村商业银行股份有限公司章程》、本行关联交易管理及其他内部制度相关规定，依规履行了相关程序</w:t>
      </w:r>
      <w:r>
        <w:rPr>
          <w:rFonts w:hint="eastAsia" w:ascii="仿宋_GB2312" w:hAnsi="Arial" w:eastAsia="仿宋_GB2312" w:cs="Arial"/>
          <w:color w:val="424242"/>
          <w:kern w:val="0"/>
          <w:sz w:val="32"/>
          <w:szCs w:val="32"/>
        </w:rPr>
        <w:t>。</w:t>
      </w:r>
    </w:p>
    <w:p>
      <w:pPr>
        <w:widowControl/>
        <w:shd w:val="clear" w:color="auto" w:fill="FFFFFF"/>
        <w:spacing w:line="570" w:lineRule="atLeast"/>
        <w:ind w:firstLine="640"/>
        <w:jc w:val="both"/>
        <w:rPr>
          <w:rFonts w:ascii="Arial" w:hAnsi="Arial" w:eastAsia="宋体" w:cs="Arial"/>
          <w:color w:val="424242"/>
          <w:kern w:val="0"/>
          <w:szCs w:val="21"/>
        </w:rPr>
      </w:pPr>
      <w:r>
        <w:rPr>
          <w:rFonts w:hint="eastAsia" w:ascii="仿宋_GB2312" w:hAnsi="Arial" w:eastAsia="仿宋_GB2312" w:cs="Arial"/>
          <w:color w:val="424242"/>
          <w:kern w:val="0"/>
          <w:sz w:val="32"/>
          <w:szCs w:val="32"/>
        </w:rPr>
        <w:t>特此公告。</w:t>
      </w:r>
    </w:p>
    <w:p>
      <w:pPr>
        <w:widowControl/>
        <w:shd w:val="clear" w:color="auto" w:fill="FFFFFF"/>
        <w:spacing w:line="570" w:lineRule="atLeast"/>
        <w:ind w:firstLine="640"/>
        <w:jc w:val="left"/>
        <w:rPr>
          <w:rFonts w:ascii="Arial" w:hAnsi="Arial" w:eastAsia="宋体" w:cs="Arial"/>
          <w:color w:val="424242"/>
          <w:kern w:val="0"/>
          <w:szCs w:val="21"/>
        </w:rPr>
      </w:pPr>
      <w:r>
        <w:rPr>
          <w:rFonts w:ascii="Calibri" w:hAnsi="Calibri" w:eastAsia="仿宋" w:cs="Calibri"/>
          <w:color w:val="424242"/>
          <w:kern w:val="0"/>
          <w:sz w:val="32"/>
          <w:szCs w:val="32"/>
        </w:rPr>
        <w:t> </w:t>
      </w:r>
    </w:p>
    <w:p>
      <w:pPr>
        <w:widowControl/>
        <w:shd w:val="clear" w:color="auto" w:fill="FFFFFF"/>
        <w:spacing w:line="570" w:lineRule="atLeast"/>
        <w:ind w:firstLine="640"/>
        <w:jc w:val="left"/>
        <w:rPr>
          <w:rFonts w:ascii="Arial" w:hAnsi="Arial" w:eastAsia="宋体" w:cs="Arial"/>
          <w:color w:val="424242"/>
          <w:kern w:val="0"/>
          <w:szCs w:val="21"/>
        </w:rPr>
      </w:pPr>
      <w:r>
        <w:rPr>
          <w:rFonts w:ascii="Calibri" w:hAnsi="Calibri" w:eastAsia="仿宋" w:cs="Calibri"/>
          <w:color w:val="424242"/>
          <w:kern w:val="0"/>
          <w:sz w:val="32"/>
          <w:szCs w:val="32"/>
        </w:rPr>
        <w:t> </w:t>
      </w:r>
    </w:p>
    <w:p>
      <w:pPr>
        <w:widowControl/>
        <w:shd w:val="clear" w:color="auto" w:fill="FFFFFF"/>
        <w:spacing w:line="570" w:lineRule="atLeast"/>
        <w:ind w:firstLine="2880"/>
        <w:jc w:val="both"/>
        <w:rPr>
          <w:rFonts w:ascii="Arial" w:hAnsi="Arial" w:eastAsia="宋体" w:cs="Arial"/>
          <w:color w:val="424242"/>
          <w:kern w:val="0"/>
          <w:sz w:val="32"/>
          <w:szCs w:val="32"/>
        </w:rPr>
      </w:pPr>
      <w:r>
        <w:rPr>
          <w:rFonts w:hint="eastAsia" w:ascii="仿宋_GB2312" w:hAnsi="Arial" w:eastAsia="仿宋_GB2312" w:cs="Arial"/>
          <w:color w:val="424242"/>
          <w:kern w:val="0"/>
          <w:sz w:val="32"/>
          <w:szCs w:val="32"/>
        </w:rPr>
        <w:t>  广东</w:t>
      </w:r>
      <w:r>
        <w:rPr>
          <w:rFonts w:hint="eastAsia" w:ascii="仿宋_GB2312" w:hAnsi="Arial" w:eastAsia="仿宋_GB2312" w:cs="Arial"/>
          <w:color w:val="424242"/>
          <w:kern w:val="0"/>
          <w:sz w:val="32"/>
          <w:szCs w:val="32"/>
          <w:lang w:val="en-US" w:eastAsia="zh-CN"/>
        </w:rPr>
        <w:t>揭阳</w:t>
      </w:r>
      <w:r>
        <w:rPr>
          <w:rFonts w:hint="eastAsia" w:ascii="仿宋_GB2312" w:hAnsi="Arial" w:eastAsia="仿宋_GB2312" w:cs="Arial"/>
          <w:color w:val="424242"/>
          <w:kern w:val="0"/>
          <w:sz w:val="32"/>
          <w:szCs w:val="32"/>
        </w:rPr>
        <w:t>农村商业银行股份有限公司</w:t>
      </w:r>
    </w:p>
    <w:p>
      <w:pPr>
        <w:widowControl/>
        <w:shd w:val="clear" w:color="auto" w:fill="FFFFFF"/>
        <w:spacing w:line="570" w:lineRule="atLeast"/>
        <w:ind w:firstLine="4480"/>
        <w:jc w:val="both"/>
        <w:rPr>
          <w:rFonts w:ascii="Arial" w:hAnsi="Arial" w:eastAsia="宋体" w:cs="Arial"/>
          <w:color w:val="424242"/>
          <w:kern w:val="0"/>
          <w:sz w:val="32"/>
          <w:szCs w:val="32"/>
        </w:rPr>
      </w:pPr>
      <w:r>
        <w:rPr>
          <w:rFonts w:hint="eastAsia" w:ascii="仿宋_GB2312" w:hAnsi="Arial" w:eastAsia="仿宋_GB2312" w:cs="Arial"/>
          <w:color w:val="424242"/>
          <w:kern w:val="0"/>
          <w:sz w:val="32"/>
          <w:szCs w:val="32"/>
        </w:rPr>
        <w:t>   202</w:t>
      </w:r>
      <w:r>
        <w:rPr>
          <w:rFonts w:hint="eastAsia" w:ascii="仿宋_GB2312" w:hAnsi="Arial" w:eastAsia="仿宋_GB2312" w:cs="Arial"/>
          <w:color w:val="424242"/>
          <w:kern w:val="0"/>
          <w:sz w:val="32"/>
          <w:szCs w:val="32"/>
          <w:lang w:val="en-US" w:eastAsia="zh-CN"/>
        </w:rPr>
        <w:t>4</w:t>
      </w:r>
      <w:r>
        <w:rPr>
          <w:rFonts w:hint="eastAsia" w:ascii="仿宋_GB2312" w:hAnsi="Arial" w:eastAsia="仿宋_GB2312" w:cs="Arial"/>
          <w:color w:val="424242"/>
          <w:kern w:val="0"/>
          <w:sz w:val="32"/>
          <w:szCs w:val="32"/>
        </w:rPr>
        <w:t>年</w:t>
      </w:r>
      <w:r>
        <w:rPr>
          <w:rFonts w:hint="eastAsia" w:ascii="仿宋_GB2312" w:hAnsi="Arial" w:eastAsia="仿宋_GB2312" w:cs="Arial"/>
          <w:color w:val="424242"/>
          <w:kern w:val="0"/>
          <w:sz w:val="32"/>
          <w:szCs w:val="32"/>
          <w:lang w:val="en-US" w:eastAsia="zh-CN"/>
        </w:rPr>
        <w:t>9</w:t>
      </w:r>
      <w:r>
        <w:rPr>
          <w:rFonts w:hint="eastAsia" w:ascii="仿宋_GB2312" w:hAnsi="Arial" w:eastAsia="仿宋_GB2312" w:cs="Arial"/>
          <w:color w:val="424242"/>
          <w:kern w:val="0"/>
          <w:sz w:val="32"/>
          <w:szCs w:val="32"/>
        </w:rPr>
        <w:t>月</w:t>
      </w:r>
      <w:r>
        <w:rPr>
          <w:rFonts w:hint="eastAsia" w:ascii="仿宋_GB2312" w:hAnsi="Arial" w:eastAsia="仿宋_GB2312" w:cs="Arial"/>
          <w:color w:val="424242"/>
          <w:kern w:val="0"/>
          <w:sz w:val="32"/>
          <w:szCs w:val="32"/>
          <w:lang w:val="en-US" w:eastAsia="zh-CN"/>
        </w:rPr>
        <w:t>21</w:t>
      </w:r>
      <w:r>
        <w:rPr>
          <w:rFonts w:hint="eastAsia" w:ascii="仿宋_GB2312" w:hAnsi="Arial" w:eastAsia="仿宋_GB2312" w:cs="Arial"/>
          <w:color w:val="424242"/>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05"/>
    <w:rsid w:val="00001119"/>
    <w:rsid w:val="008F6005"/>
    <w:rsid w:val="00E91DBD"/>
    <w:rsid w:val="16185433"/>
    <w:rsid w:val="20BB4814"/>
    <w:rsid w:val="37FD5A21"/>
    <w:rsid w:val="3C0F75FB"/>
    <w:rsid w:val="42867045"/>
    <w:rsid w:val="47C0523C"/>
    <w:rsid w:val="482F282D"/>
    <w:rsid w:val="62684144"/>
    <w:rsid w:val="68505BB8"/>
    <w:rsid w:val="69300B45"/>
    <w:rsid w:val="712434EA"/>
    <w:rsid w:val="79463689"/>
    <w:rsid w:val="7A60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Words>
  <Characters>1268</Characters>
  <Lines>10</Lines>
  <Paragraphs>2</Paragraphs>
  <TotalTime>10</TotalTime>
  <ScaleCrop>false</ScaleCrop>
  <LinksUpToDate>false</LinksUpToDate>
  <CharactersWithSpaces>1488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2023-09-27T07:55:00Z</dcterms:created>
  <dc:creator>王静霞</dc:creator>
  <cp:lastModifiedBy>0011310</cp:lastModifiedBy>
  <dcterms:modified xsi:type="dcterms:W3CDTF">2024-09-21T02:42:30Z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