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DD" w:rsidRDefault="004D75C2">
      <w:pPr>
        <w:widowControl/>
        <w:shd w:val="clear" w:color="auto" w:fill="FFFFFF"/>
        <w:spacing w:line="510" w:lineRule="atLeast"/>
        <w:jc w:val="center"/>
        <w:rPr>
          <w:rFonts w:ascii="Arial" w:eastAsia="宋体" w:hAnsi="Arial" w:cs="Arial"/>
          <w:color w:val="222222"/>
          <w:kern w:val="0"/>
          <w:sz w:val="44"/>
          <w:szCs w:val="44"/>
        </w:rPr>
      </w:pPr>
      <w:r>
        <w:rPr>
          <w:rFonts w:ascii="Arial" w:eastAsia="宋体" w:hAnsi="Arial" w:cs="Arial"/>
          <w:color w:val="222222"/>
          <w:kern w:val="0"/>
          <w:sz w:val="44"/>
          <w:szCs w:val="44"/>
        </w:rPr>
        <w:t>广东</w:t>
      </w:r>
      <w:r>
        <w:rPr>
          <w:rFonts w:ascii="Arial" w:eastAsia="宋体" w:hAnsi="Arial" w:cs="Arial" w:hint="eastAsia"/>
          <w:color w:val="222222"/>
          <w:kern w:val="0"/>
          <w:sz w:val="44"/>
          <w:szCs w:val="44"/>
        </w:rPr>
        <w:t>揭阳</w:t>
      </w:r>
      <w:r>
        <w:rPr>
          <w:rFonts w:ascii="Arial" w:eastAsia="宋体" w:hAnsi="Arial" w:cs="Arial"/>
          <w:color w:val="222222"/>
          <w:kern w:val="0"/>
          <w:sz w:val="44"/>
          <w:szCs w:val="44"/>
        </w:rPr>
        <w:t>农村商业银行股份有限公司</w:t>
      </w:r>
    </w:p>
    <w:p w:rsidR="001E6CDD" w:rsidRDefault="004D75C2">
      <w:pPr>
        <w:widowControl/>
        <w:shd w:val="clear" w:color="auto" w:fill="FFFFFF"/>
        <w:spacing w:line="510" w:lineRule="atLeast"/>
        <w:jc w:val="center"/>
        <w:rPr>
          <w:rFonts w:ascii="Arial" w:eastAsia="宋体" w:hAnsi="Arial" w:cs="Arial"/>
          <w:color w:val="222222"/>
          <w:kern w:val="0"/>
          <w:sz w:val="44"/>
          <w:szCs w:val="44"/>
        </w:rPr>
      </w:pPr>
      <w:r>
        <w:rPr>
          <w:rFonts w:ascii="Arial" w:eastAsia="宋体" w:hAnsi="Arial" w:cs="Arial"/>
          <w:color w:val="222222"/>
          <w:kern w:val="0"/>
          <w:sz w:val="44"/>
          <w:szCs w:val="44"/>
        </w:rPr>
        <w:t>关于关联交易事项的公告</w:t>
      </w:r>
      <w:r>
        <w:rPr>
          <w:rFonts w:ascii="Arial" w:eastAsia="宋体" w:hAnsi="Arial" w:cs="Arial" w:hint="eastAsia"/>
          <w:color w:val="222222"/>
          <w:kern w:val="0"/>
          <w:sz w:val="44"/>
          <w:szCs w:val="44"/>
        </w:rPr>
        <w:t>（</w:t>
      </w:r>
      <w:r>
        <w:rPr>
          <w:rFonts w:ascii="Arial" w:eastAsia="宋体" w:hAnsi="Arial" w:cs="Arial" w:hint="eastAsia"/>
          <w:color w:val="222222"/>
          <w:kern w:val="0"/>
          <w:sz w:val="44"/>
          <w:szCs w:val="44"/>
        </w:rPr>
        <w:t>八）</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仿宋_GB2312" w:eastAsia="仿宋_GB2312" w:hAnsi="Arial" w:cs="Arial" w:hint="eastAsia"/>
          <w:color w:val="424242"/>
          <w:kern w:val="0"/>
          <w:sz w:val="32"/>
          <w:szCs w:val="32"/>
        </w:rPr>
        <w:t>根据《银行保险机构关联交易管理办法》（中国银行保险监督管理委员会令〔</w:t>
      </w:r>
      <w:r>
        <w:rPr>
          <w:rFonts w:ascii="仿宋_GB2312" w:eastAsia="仿宋_GB2312" w:hAnsi="Arial" w:cs="Arial" w:hint="eastAsia"/>
          <w:color w:val="424242"/>
          <w:kern w:val="0"/>
          <w:sz w:val="32"/>
          <w:szCs w:val="32"/>
        </w:rPr>
        <w:t>2022</w:t>
      </w:r>
      <w:r>
        <w:rPr>
          <w:rFonts w:ascii="仿宋_GB2312" w:eastAsia="仿宋_GB2312" w:hAnsi="Arial" w:cs="Arial" w:hint="eastAsia"/>
          <w:color w:val="424242"/>
          <w:kern w:val="0"/>
          <w:sz w:val="32"/>
          <w:szCs w:val="32"/>
        </w:rPr>
        <w:t>〕</w:t>
      </w:r>
      <w:r>
        <w:rPr>
          <w:rFonts w:ascii="仿宋_GB2312" w:eastAsia="仿宋_GB2312" w:hAnsi="Arial" w:cs="Arial" w:hint="eastAsia"/>
          <w:color w:val="424242"/>
          <w:kern w:val="0"/>
          <w:sz w:val="32"/>
          <w:szCs w:val="32"/>
        </w:rPr>
        <w:t>1</w:t>
      </w:r>
      <w:r>
        <w:rPr>
          <w:rFonts w:ascii="仿宋_GB2312" w:eastAsia="仿宋_GB2312" w:hAnsi="Arial" w:cs="Arial" w:hint="eastAsia"/>
          <w:color w:val="424242"/>
          <w:kern w:val="0"/>
          <w:sz w:val="32"/>
          <w:szCs w:val="32"/>
        </w:rPr>
        <w:t> </w:t>
      </w:r>
      <w:r>
        <w:rPr>
          <w:rFonts w:ascii="仿宋_GB2312" w:eastAsia="仿宋_GB2312" w:hAnsi="Arial" w:cs="Arial" w:hint="eastAsia"/>
          <w:color w:val="424242"/>
          <w:kern w:val="0"/>
          <w:sz w:val="32"/>
          <w:szCs w:val="32"/>
        </w:rPr>
        <w:t>号）第五十三条和第五十六条规定，广东</w:t>
      </w:r>
      <w:r>
        <w:rPr>
          <w:rFonts w:ascii="仿宋_GB2312" w:eastAsia="仿宋_GB2312" w:hAnsi="Arial" w:cs="Arial" w:hint="eastAsia"/>
          <w:color w:val="424242"/>
          <w:kern w:val="0"/>
          <w:sz w:val="32"/>
          <w:szCs w:val="32"/>
        </w:rPr>
        <w:t>揭阳</w:t>
      </w:r>
      <w:r>
        <w:rPr>
          <w:rFonts w:ascii="仿宋_GB2312" w:eastAsia="仿宋_GB2312" w:hAnsi="Arial" w:cs="Arial" w:hint="eastAsia"/>
          <w:color w:val="424242"/>
          <w:kern w:val="0"/>
          <w:sz w:val="32"/>
          <w:szCs w:val="32"/>
        </w:rPr>
        <w:t>农村商业银行股份有限公司（以下简称“本行”）就重大关联交易信息披露如下：</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黑体" w:eastAsia="黑体" w:hAnsi="黑体" w:cs="Arial" w:hint="eastAsia"/>
          <w:color w:val="424242"/>
          <w:kern w:val="0"/>
          <w:sz w:val="32"/>
          <w:szCs w:val="32"/>
        </w:rPr>
        <w:t>一、关联交易概述及交易标的</w:t>
      </w:r>
    </w:p>
    <w:p w:rsidR="001E6CDD" w:rsidRDefault="004D75C2">
      <w:pPr>
        <w:widowControl/>
        <w:shd w:val="clear" w:color="auto" w:fill="FFFFFF"/>
        <w:spacing w:line="570" w:lineRule="atLeast"/>
        <w:ind w:firstLine="640"/>
        <w:rPr>
          <w:rFonts w:ascii="仿宋_GB2312" w:eastAsia="仿宋_GB2312" w:hAnsi="Arial" w:cs="Arial"/>
          <w:color w:val="424242"/>
          <w:kern w:val="0"/>
          <w:sz w:val="32"/>
          <w:szCs w:val="32"/>
        </w:rPr>
      </w:pPr>
      <w:r>
        <w:rPr>
          <w:rFonts w:ascii="仿宋_GB2312" w:eastAsia="仿宋_GB2312" w:hAnsi="Arial" w:cs="Arial" w:hint="eastAsia"/>
          <w:color w:val="424242"/>
          <w:kern w:val="0"/>
          <w:sz w:val="32"/>
          <w:szCs w:val="32"/>
        </w:rPr>
        <w:t>本次关联交易主要内容为同意</w:t>
      </w:r>
      <w:r>
        <w:rPr>
          <w:rFonts w:ascii="仿宋_GB2312" w:eastAsia="仿宋_GB2312" w:hAnsi="Arial" w:cs="Arial" w:hint="eastAsia"/>
          <w:color w:val="424242"/>
          <w:kern w:val="0"/>
          <w:sz w:val="32"/>
          <w:szCs w:val="32"/>
        </w:rPr>
        <w:t>广东电建工程有限公司展期贷款</w:t>
      </w:r>
      <w:r>
        <w:rPr>
          <w:rFonts w:ascii="仿宋_GB2312" w:eastAsia="仿宋_GB2312" w:hAnsi="Arial" w:cs="Arial" w:hint="eastAsia"/>
          <w:color w:val="424242"/>
          <w:kern w:val="0"/>
          <w:sz w:val="32"/>
          <w:szCs w:val="32"/>
        </w:rPr>
        <w:t>4000</w:t>
      </w:r>
      <w:r>
        <w:rPr>
          <w:rFonts w:ascii="仿宋_GB2312" w:eastAsia="仿宋_GB2312" w:hAnsi="Arial" w:cs="Arial" w:hint="eastAsia"/>
          <w:color w:val="424242"/>
          <w:kern w:val="0"/>
          <w:sz w:val="32"/>
          <w:szCs w:val="32"/>
        </w:rPr>
        <w:t>万元</w:t>
      </w:r>
      <w:r>
        <w:rPr>
          <w:rFonts w:ascii="仿宋_GB2312" w:eastAsia="仿宋_GB2312" w:hAnsi="Arial" w:cs="Arial" w:hint="eastAsia"/>
          <w:color w:val="424242"/>
          <w:kern w:val="0"/>
          <w:sz w:val="32"/>
          <w:szCs w:val="32"/>
        </w:rPr>
        <w:t>，期限</w:t>
      </w:r>
      <w:r>
        <w:rPr>
          <w:rFonts w:ascii="仿宋_GB2312" w:eastAsia="仿宋_GB2312" w:hAnsi="Arial" w:cs="Arial" w:hint="eastAsia"/>
          <w:color w:val="424242"/>
          <w:kern w:val="0"/>
          <w:sz w:val="32"/>
          <w:szCs w:val="32"/>
        </w:rPr>
        <w:t>1</w:t>
      </w:r>
      <w:r>
        <w:rPr>
          <w:rFonts w:ascii="仿宋_GB2312" w:eastAsia="仿宋_GB2312" w:hAnsi="Arial" w:cs="Arial" w:hint="eastAsia"/>
          <w:color w:val="424242"/>
          <w:kern w:val="0"/>
          <w:sz w:val="32"/>
          <w:szCs w:val="32"/>
        </w:rPr>
        <w:t>年，担保方式为抵押</w:t>
      </w:r>
      <w:r>
        <w:rPr>
          <w:rFonts w:ascii="仿宋_GB2312" w:eastAsia="仿宋_GB2312" w:hAnsi="Arial" w:cs="Arial" w:hint="eastAsia"/>
          <w:color w:val="424242"/>
          <w:kern w:val="0"/>
          <w:sz w:val="32"/>
          <w:szCs w:val="32"/>
        </w:rPr>
        <w:t>。</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黑体" w:eastAsia="黑体" w:hAnsi="黑体" w:cs="Arial" w:hint="eastAsia"/>
          <w:color w:val="424242"/>
          <w:kern w:val="0"/>
          <w:sz w:val="32"/>
          <w:szCs w:val="32"/>
        </w:rPr>
        <w:t>二、关联方介绍</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楷体" w:eastAsia="楷体" w:hAnsi="楷体" w:cs="Arial" w:hint="eastAsia"/>
          <w:color w:val="424242"/>
          <w:kern w:val="0"/>
          <w:sz w:val="32"/>
          <w:szCs w:val="32"/>
        </w:rPr>
        <w:t>（一）关联方关系介绍。</w:t>
      </w:r>
    </w:p>
    <w:p w:rsidR="001E6CDD" w:rsidRDefault="004D75C2">
      <w:pPr>
        <w:widowControl/>
        <w:shd w:val="clear" w:color="auto" w:fill="FFFFFF"/>
        <w:spacing w:line="570" w:lineRule="atLeas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广东电建工程有限公司的实际所有人为黄奕鹏，与本行主要股东广东省揭阳电力房地产开发有限公司的实际所有人为同一人，因此广东电建工程有限公司属于本行关联方。</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楷体" w:eastAsia="楷体" w:hAnsi="楷体" w:cs="Arial" w:hint="eastAsia"/>
          <w:color w:val="424242"/>
          <w:kern w:val="0"/>
          <w:sz w:val="32"/>
          <w:szCs w:val="32"/>
        </w:rPr>
        <w:t>（二）关联人基本情况。</w:t>
      </w:r>
    </w:p>
    <w:p w:rsidR="001E6CDD" w:rsidRDefault="004D75C2">
      <w:pPr>
        <w:widowControl/>
        <w:shd w:val="clear" w:color="auto" w:fill="FFFFFF"/>
        <w:spacing w:line="570" w:lineRule="atLeas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广东电建工程有限公司，性质为民营企业。经营范围：</w:t>
      </w:r>
      <w:r>
        <w:rPr>
          <w:rFonts w:ascii="仿宋_GB2312" w:eastAsia="仿宋_GB2312" w:hAnsi="Calibri" w:cs="Times New Roman" w:hint="eastAsia"/>
          <w:sz w:val="32"/>
          <w:szCs w:val="32"/>
        </w:rPr>
        <w:t>建筑工程施工总承包壹级，市政公用工程施工总承包贰级，电力工程施工总承包贰级，建筑装修装饰工程专业承包贰级，城市及道路照明工程专业承包贰级，电子与智能化工程专业承包贰级，消防设施工程专业承包贰级；电力设施承装类二级、承修类二级、承试类三级；设计、制作、发布、代理国内外各类广告；房屋拆除服务</w:t>
      </w:r>
      <w:r>
        <w:rPr>
          <w:rFonts w:ascii="仿宋_GB2312" w:eastAsia="仿宋_GB2312" w:hAnsi="Calibri" w:cs="Times New Roman" w:hint="eastAsia"/>
          <w:sz w:val="32"/>
          <w:szCs w:val="32"/>
        </w:rPr>
        <w:t>，厂房、设备拆除服务，桥梁、</w:t>
      </w:r>
      <w:r>
        <w:rPr>
          <w:rFonts w:ascii="仿宋_GB2312" w:eastAsia="仿宋_GB2312" w:hAnsi="Calibri" w:cs="Times New Roman" w:hint="eastAsia"/>
          <w:sz w:val="32"/>
          <w:szCs w:val="32"/>
        </w:rPr>
        <w:lastRenderedPageBreak/>
        <w:t>轨道拆除及类似拆除服务；园林绿化工程施工及设计</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依法须经批准的项目，经相关部门批准后方可开展经营活动</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法定代表人：孙森楠。注册地：揭阳市榕城区临江北路金润·帝豪湾附楼二层。注册资本：</w:t>
      </w:r>
      <w:r>
        <w:rPr>
          <w:rFonts w:ascii="仿宋_GB2312" w:eastAsia="仿宋_GB2312" w:hAnsi="Calibri" w:cs="Times New Roman" w:hint="eastAsia"/>
          <w:sz w:val="32"/>
          <w:szCs w:val="32"/>
        </w:rPr>
        <w:t>13800</w:t>
      </w:r>
      <w:r>
        <w:rPr>
          <w:rFonts w:ascii="仿宋_GB2312" w:eastAsia="仿宋_GB2312" w:hAnsi="Calibri" w:cs="Times New Roman" w:hint="eastAsia"/>
          <w:sz w:val="32"/>
          <w:szCs w:val="32"/>
        </w:rPr>
        <w:t>万元，报告期内注册资本没变化。</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黑体" w:eastAsia="黑体" w:hAnsi="黑体" w:cs="Arial" w:hint="eastAsia"/>
          <w:color w:val="424242"/>
          <w:kern w:val="0"/>
          <w:sz w:val="32"/>
          <w:szCs w:val="32"/>
        </w:rPr>
        <w:t>三、关联交易的定价政策</w:t>
      </w:r>
    </w:p>
    <w:p w:rsidR="001E6CDD" w:rsidRDefault="004D75C2">
      <w:pPr>
        <w:widowControl/>
        <w:shd w:val="clear" w:color="auto" w:fill="FFFFFF"/>
        <w:spacing w:line="570" w:lineRule="atLeas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本行与广东电建工程有限公司的关联交易按一般的商业条款原则进行，遵循利率政策以及本行同类产品定价相关管理制度，以不优于对非关联方同类交易的条件，关联交易价格公允，并遵循公平公正原则。</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黑体" w:eastAsia="黑体" w:hAnsi="黑体" w:cs="Arial" w:hint="eastAsia"/>
          <w:color w:val="424242"/>
          <w:kern w:val="0"/>
          <w:sz w:val="32"/>
          <w:szCs w:val="32"/>
        </w:rPr>
        <w:t>四、关联交易金额及比例</w:t>
      </w:r>
    </w:p>
    <w:p w:rsidR="001E6CDD" w:rsidRDefault="004D75C2">
      <w:pPr>
        <w:widowControl/>
        <w:shd w:val="clear" w:color="auto" w:fill="FFFFFF"/>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本次与</w:t>
      </w:r>
      <w:r>
        <w:rPr>
          <w:rFonts w:ascii="仿宋_GB2312" w:eastAsia="仿宋_GB2312" w:hAnsi="仿宋" w:cs="仿宋_GB2312" w:hint="eastAsia"/>
          <w:kern w:val="0"/>
          <w:sz w:val="32"/>
          <w:szCs w:val="32"/>
        </w:rPr>
        <w:t>广东电建工程有限公司</w:t>
      </w:r>
      <w:r>
        <w:rPr>
          <w:rFonts w:ascii="仿宋_GB2312" w:eastAsia="仿宋_GB2312" w:hAnsi="Calibri" w:cs="Times New Roman" w:hint="eastAsia"/>
          <w:sz w:val="32"/>
          <w:szCs w:val="32"/>
        </w:rPr>
        <w:t>的</w:t>
      </w:r>
      <w:r>
        <w:rPr>
          <w:rFonts w:ascii="仿宋_GB2312" w:eastAsia="仿宋_GB2312" w:hAnsi="Calibri" w:cs="Times New Roman" w:hint="eastAsia"/>
          <w:sz w:val="32"/>
          <w:szCs w:val="32"/>
        </w:rPr>
        <w:t>单笔交易金额为</w:t>
      </w:r>
      <w:r>
        <w:rPr>
          <w:rFonts w:ascii="仿宋_GB2312" w:eastAsia="仿宋_GB2312" w:hAnsi="Calibri" w:cs="Times New Roman" w:hint="eastAsia"/>
          <w:sz w:val="32"/>
          <w:szCs w:val="32"/>
        </w:rPr>
        <w:t>4000</w:t>
      </w:r>
      <w:r>
        <w:rPr>
          <w:rFonts w:ascii="仿宋_GB2312" w:eastAsia="仿宋_GB2312" w:hAnsi="Calibri" w:cs="Times New Roman" w:hint="eastAsia"/>
          <w:sz w:val="32"/>
          <w:szCs w:val="32"/>
        </w:rPr>
        <w:t>万元，单笔交易金额占本行上季末资本净额的</w:t>
      </w:r>
      <w:r>
        <w:rPr>
          <w:rFonts w:ascii="仿宋_GB2312" w:eastAsia="仿宋_GB2312" w:hAnsi="Calibri" w:cs="Times New Roman" w:hint="eastAsia"/>
          <w:sz w:val="32"/>
          <w:szCs w:val="32"/>
        </w:rPr>
        <w:t>5.31%</w:t>
      </w:r>
      <w:r>
        <w:rPr>
          <w:rFonts w:ascii="仿宋_GB2312" w:eastAsia="仿宋_GB2312" w:hAnsi="Calibri" w:cs="Times New Roman" w:hint="eastAsia"/>
          <w:sz w:val="32"/>
          <w:szCs w:val="32"/>
        </w:rPr>
        <w:t>，属于重大关联交易。</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黑体" w:eastAsia="黑体" w:hAnsi="黑体" w:cs="Arial" w:hint="eastAsia"/>
          <w:color w:val="424242"/>
          <w:kern w:val="0"/>
          <w:sz w:val="32"/>
          <w:szCs w:val="32"/>
        </w:rPr>
        <w:t>五</w:t>
      </w:r>
      <w:r>
        <w:rPr>
          <w:rFonts w:ascii="黑体" w:eastAsia="黑体" w:hAnsi="黑体" w:cs="Arial" w:hint="eastAsia"/>
          <w:color w:val="424242"/>
          <w:kern w:val="0"/>
          <w:sz w:val="32"/>
          <w:szCs w:val="32"/>
        </w:rPr>
        <w:t>、</w:t>
      </w:r>
      <w:r>
        <w:rPr>
          <w:rFonts w:ascii="黑体" w:eastAsia="黑体" w:hAnsi="黑体" w:cs="Arial" w:hint="eastAsia"/>
          <w:color w:val="424242"/>
          <w:kern w:val="0"/>
          <w:sz w:val="32"/>
          <w:szCs w:val="32"/>
        </w:rPr>
        <w:t>有关决议</w:t>
      </w:r>
      <w:r>
        <w:rPr>
          <w:rFonts w:ascii="黑体" w:eastAsia="黑体" w:hAnsi="黑体" w:cs="Arial" w:hint="eastAsia"/>
          <w:color w:val="424242"/>
          <w:kern w:val="0"/>
          <w:sz w:val="32"/>
          <w:szCs w:val="32"/>
        </w:rPr>
        <w:t>程序</w:t>
      </w:r>
    </w:p>
    <w:p w:rsidR="001E6CDD" w:rsidRDefault="004D75C2">
      <w:pPr>
        <w:widowControl/>
        <w:shd w:val="clear" w:color="auto" w:fill="FFFFFF"/>
        <w:spacing w:line="570" w:lineRule="atLeas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本次关联交易经董事会关联交易控制委员会审查通过，并经第四届董事会第十一次（临时）会议审批通过。</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黑体" w:eastAsia="黑体" w:hAnsi="黑体" w:cs="Arial" w:hint="eastAsia"/>
          <w:color w:val="424242"/>
          <w:kern w:val="0"/>
          <w:sz w:val="32"/>
          <w:szCs w:val="32"/>
        </w:rPr>
        <w:t>六</w:t>
      </w:r>
      <w:r>
        <w:rPr>
          <w:rFonts w:ascii="黑体" w:eastAsia="黑体" w:hAnsi="黑体" w:cs="Arial" w:hint="eastAsia"/>
          <w:color w:val="424242"/>
          <w:kern w:val="0"/>
          <w:sz w:val="32"/>
          <w:szCs w:val="32"/>
        </w:rPr>
        <w:t>、独立董事意见</w:t>
      </w:r>
    </w:p>
    <w:p w:rsidR="001E6CDD" w:rsidRDefault="004D75C2">
      <w:pPr>
        <w:widowControl/>
        <w:shd w:val="clear" w:color="auto" w:fill="FFFFFF"/>
        <w:spacing w:line="570" w:lineRule="atLeas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本行全体独立董事对上述关联交易发表意见如下：</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仿宋_GB2312" w:eastAsia="仿宋_GB2312" w:hAnsi="Calibri" w:cs="Times New Roman" w:hint="eastAsia"/>
          <w:sz w:val="32"/>
          <w:szCs w:val="32"/>
        </w:rPr>
        <w:t>本行与广东电建工程有限公司</w:t>
      </w:r>
      <w:r>
        <w:rPr>
          <w:rFonts w:ascii="仿宋_GB2312" w:eastAsia="仿宋_GB2312" w:hAnsi="Calibri" w:cs="Times New Roman" w:hint="eastAsia"/>
          <w:sz w:val="32"/>
          <w:szCs w:val="32"/>
        </w:rPr>
        <w:t>4000</w:t>
      </w:r>
      <w:r>
        <w:rPr>
          <w:rFonts w:ascii="仿宋_GB2312" w:eastAsia="仿宋_GB2312" w:hAnsi="Calibri" w:cs="Times New Roman" w:hint="eastAsia"/>
          <w:sz w:val="32"/>
          <w:szCs w:val="32"/>
        </w:rPr>
        <w:t>万元人民币的关联交易属于本行正常业务，定价以不优于对非关联方同类交易的条件进行，符合公司和全体股东的利益，且不会对本行独</w:t>
      </w:r>
      <w:r>
        <w:rPr>
          <w:rFonts w:ascii="仿宋_GB2312" w:eastAsia="仿宋_GB2312" w:hAnsi="Calibri" w:cs="Times New Roman" w:hint="eastAsia"/>
          <w:sz w:val="32"/>
          <w:szCs w:val="32"/>
        </w:rPr>
        <w:lastRenderedPageBreak/>
        <w:t>立性构成影响；符合监管部门的规定，符合《广东揭阳农村商业银行股份有限公司章程》、本行关联交易管理及其他内部制度相关规定，依规履行了相关程序</w:t>
      </w:r>
      <w:r>
        <w:rPr>
          <w:rFonts w:ascii="仿宋_GB2312" w:eastAsia="仿宋_GB2312" w:hAnsi="Arial" w:cs="Arial" w:hint="eastAsia"/>
          <w:color w:val="424242"/>
          <w:kern w:val="0"/>
          <w:sz w:val="32"/>
          <w:szCs w:val="32"/>
        </w:rPr>
        <w:t>。</w:t>
      </w:r>
    </w:p>
    <w:p w:rsidR="001E6CDD" w:rsidRDefault="004D75C2">
      <w:pPr>
        <w:widowControl/>
        <w:shd w:val="clear" w:color="auto" w:fill="FFFFFF"/>
        <w:spacing w:line="570" w:lineRule="atLeast"/>
        <w:ind w:firstLine="640"/>
        <w:rPr>
          <w:rFonts w:ascii="Arial" w:eastAsia="宋体" w:hAnsi="Arial" w:cs="Arial"/>
          <w:color w:val="424242"/>
          <w:kern w:val="0"/>
          <w:szCs w:val="21"/>
        </w:rPr>
      </w:pPr>
      <w:r>
        <w:rPr>
          <w:rFonts w:ascii="仿宋_GB2312" w:eastAsia="仿宋_GB2312" w:hAnsi="Arial" w:cs="Arial" w:hint="eastAsia"/>
          <w:color w:val="424242"/>
          <w:kern w:val="0"/>
          <w:sz w:val="32"/>
          <w:szCs w:val="32"/>
        </w:rPr>
        <w:t>特此公告。</w:t>
      </w:r>
    </w:p>
    <w:p w:rsidR="001E6CDD" w:rsidRDefault="004D75C2">
      <w:pPr>
        <w:widowControl/>
        <w:shd w:val="clear" w:color="auto" w:fill="FFFFFF"/>
        <w:spacing w:line="570" w:lineRule="atLeast"/>
        <w:ind w:firstLine="640"/>
        <w:jc w:val="left"/>
        <w:rPr>
          <w:rFonts w:ascii="Arial" w:eastAsia="宋体" w:hAnsi="Arial" w:cs="Arial"/>
          <w:color w:val="424242"/>
          <w:kern w:val="0"/>
          <w:szCs w:val="21"/>
        </w:rPr>
      </w:pPr>
      <w:r>
        <w:rPr>
          <w:rFonts w:ascii="Calibri" w:eastAsia="仿宋" w:hAnsi="Calibri" w:cs="Calibri"/>
          <w:color w:val="424242"/>
          <w:kern w:val="0"/>
          <w:sz w:val="32"/>
          <w:szCs w:val="32"/>
        </w:rPr>
        <w:t> </w:t>
      </w:r>
    </w:p>
    <w:p w:rsidR="001E6CDD" w:rsidRDefault="004D75C2">
      <w:pPr>
        <w:widowControl/>
        <w:shd w:val="clear" w:color="auto" w:fill="FFFFFF"/>
        <w:spacing w:line="570" w:lineRule="atLeast"/>
        <w:ind w:firstLine="640"/>
        <w:jc w:val="left"/>
        <w:rPr>
          <w:rFonts w:ascii="Arial" w:eastAsia="宋体" w:hAnsi="Arial" w:cs="Arial"/>
          <w:color w:val="424242"/>
          <w:kern w:val="0"/>
          <w:szCs w:val="21"/>
        </w:rPr>
      </w:pPr>
      <w:r>
        <w:rPr>
          <w:rFonts w:ascii="Calibri" w:eastAsia="仿宋" w:hAnsi="Calibri" w:cs="Calibri"/>
          <w:color w:val="424242"/>
          <w:kern w:val="0"/>
          <w:sz w:val="32"/>
          <w:szCs w:val="32"/>
        </w:rPr>
        <w:t> </w:t>
      </w:r>
    </w:p>
    <w:p w:rsidR="001E6CDD" w:rsidRDefault="004D75C2">
      <w:pPr>
        <w:widowControl/>
        <w:shd w:val="clear" w:color="auto" w:fill="FFFFFF"/>
        <w:spacing w:line="570" w:lineRule="atLeast"/>
        <w:ind w:firstLine="2880"/>
        <w:rPr>
          <w:rFonts w:ascii="Arial" w:eastAsia="宋体" w:hAnsi="Arial" w:cs="Arial"/>
          <w:color w:val="424242"/>
          <w:kern w:val="0"/>
          <w:sz w:val="32"/>
          <w:szCs w:val="32"/>
        </w:rPr>
      </w:pPr>
      <w:r>
        <w:rPr>
          <w:rFonts w:ascii="仿宋_GB2312" w:eastAsia="仿宋_GB2312" w:hAnsi="Arial" w:cs="Arial" w:hint="eastAsia"/>
          <w:color w:val="424242"/>
          <w:kern w:val="0"/>
          <w:sz w:val="32"/>
          <w:szCs w:val="32"/>
        </w:rPr>
        <w:t> </w:t>
      </w:r>
      <w:r>
        <w:rPr>
          <w:rFonts w:ascii="仿宋_GB2312" w:eastAsia="仿宋_GB2312" w:hAnsi="Arial" w:cs="Arial" w:hint="eastAsia"/>
          <w:color w:val="424242"/>
          <w:kern w:val="0"/>
          <w:sz w:val="32"/>
          <w:szCs w:val="32"/>
        </w:rPr>
        <w:t xml:space="preserve"> </w:t>
      </w:r>
      <w:r>
        <w:rPr>
          <w:rFonts w:ascii="仿宋_GB2312" w:eastAsia="仿宋_GB2312" w:hAnsi="Arial" w:cs="Arial" w:hint="eastAsia"/>
          <w:color w:val="424242"/>
          <w:kern w:val="0"/>
          <w:sz w:val="32"/>
          <w:szCs w:val="32"/>
        </w:rPr>
        <w:t>广东</w:t>
      </w:r>
      <w:r>
        <w:rPr>
          <w:rFonts w:ascii="仿宋_GB2312" w:eastAsia="仿宋_GB2312" w:hAnsi="Arial" w:cs="Arial" w:hint="eastAsia"/>
          <w:color w:val="424242"/>
          <w:kern w:val="0"/>
          <w:sz w:val="32"/>
          <w:szCs w:val="32"/>
        </w:rPr>
        <w:t>揭阳</w:t>
      </w:r>
      <w:r>
        <w:rPr>
          <w:rFonts w:ascii="仿宋_GB2312" w:eastAsia="仿宋_GB2312" w:hAnsi="Arial" w:cs="Arial" w:hint="eastAsia"/>
          <w:color w:val="424242"/>
          <w:kern w:val="0"/>
          <w:sz w:val="32"/>
          <w:szCs w:val="32"/>
        </w:rPr>
        <w:t>农村商业银行股份有限公司</w:t>
      </w:r>
    </w:p>
    <w:p w:rsidR="001E6CDD" w:rsidRDefault="004D75C2">
      <w:pPr>
        <w:widowControl/>
        <w:shd w:val="clear" w:color="auto" w:fill="FFFFFF"/>
        <w:spacing w:line="570" w:lineRule="atLeast"/>
        <w:ind w:firstLine="4480"/>
        <w:rPr>
          <w:rFonts w:ascii="Arial" w:eastAsia="宋体" w:hAnsi="Arial" w:cs="Arial"/>
          <w:color w:val="424242"/>
          <w:kern w:val="0"/>
          <w:sz w:val="32"/>
          <w:szCs w:val="32"/>
        </w:rPr>
      </w:pPr>
      <w:r>
        <w:rPr>
          <w:rFonts w:ascii="仿宋_GB2312" w:eastAsia="仿宋_GB2312" w:hAnsi="Arial" w:cs="Arial" w:hint="eastAsia"/>
          <w:color w:val="424242"/>
          <w:kern w:val="0"/>
          <w:sz w:val="32"/>
          <w:szCs w:val="32"/>
        </w:rPr>
        <w:t>  </w:t>
      </w:r>
      <w:r>
        <w:rPr>
          <w:rFonts w:ascii="仿宋_GB2312" w:eastAsia="仿宋_GB2312" w:hAnsi="Arial" w:cs="Arial" w:hint="eastAsia"/>
          <w:color w:val="424242"/>
          <w:kern w:val="0"/>
          <w:sz w:val="32"/>
          <w:szCs w:val="32"/>
        </w:rPr>
        <w:t xml:space="preserve"> 202</w:t>
      </w:r>
      <w:r>
        <w:rPr>
          <w:rFonts w:ascii="仿宋_GB2312" w:eastAsia="仿宋_GB2312" w:hAnsi="Arial" w:cs="Arial" w:hint="eastAsia"/>
          <w:color w:val="424242"/>
          <w:kern w:val="0"/>
          <w:sz w:val="32"/>
          <w:szCs w:val="32"/>
        </w:rPr>
        <w:t>4</w:t>
      </w:r>
      <w:r>
        <w:rPr>
          <w:rFonts w:ascii="仿宋_GB2312" w:eastAsia="仿宋_GB2312" w:hAnsi="Arial" w:cs="Arial" w:hint="eastAsia"/>
          <w:color w:val="424242"/>
          <w:kern w:val="0"/>
          <w:sz w:val="32"/>
          <w:szCs w:val="32"/>
        </w:rPr>
        <w:t>年</w:t>
      </w:r>
      <w:r>
        <w:rPr>
          <w:rFonts w:ascii="仿宋_GB2312" w:eastAsia="仿宋_GB2312" w:hAnsi="Arial" w:cs="Arial" w:hint="eastAsia"/>
          <w:color w:val="424242"/>
          <w:kern w:val="0"/>
          <w:sz w:val="32"/>
          <w:szCs w:val="32"/>
        </w:rPr>
        <w:t>6</w:t>
      </w:r>
      <w:r>
        <w:rPr>
          <w:rFonts w:ascii="仿宋_GB2312" w:eastAsia="仿宋_GB2312" w:hAnsi="Arial" w:cs="Arial" w:hint="eastAsia"/>
          <w:color w:val="424242"/>
          <w:kern w:val="0"/>
          <w:sz w:val="32"/>
          <w:szCs w:val="32"/>
        </w:rPr>
        <w:t>月</w:t>
      </w:r>
      <w:bookmarkStart w:id="0" w:name="_GoBack"/>
      <w:bookmarkEnd w:id="0"/>
      <w:r>
        <w:rPr>
          <w:rFonts w:ascii="仿宋_GB2312" w:eastAsia="仿宋_GB2312" w:hAnsi="Arial" w:cs="Arial" w:hint="eastAsia"/>
          <w:color w:val="424242"/>
          <w:kern w:val="0"/>
          <w:sz w:val="32"/>
          <w:szCs w:val="32"/>
        </w:rPr>
        <w:t>5</w:t>
      </w:r>
      <w:r>
        <w:rPr>
          <w:rFonts w:ascii="仿宋_GB2312" w:eastAsia="仿宋_GB2312" w:hAnsi="Arial" w:cs="Arial" w:hint="eastAsia"/>
          <w:color w:val="424242"/>
          <w:kern w:val="0"/>
          <w:sz w:val="32"/>
          <w:szCs w:val="32"/>
        </w:rPr>
        <w:t>日</w:t>
      </w:r>
    </w:p>
    <w:p w:rsidR="001E6CDD" w:rsidRDefault="001E6CDD"/>
    <w:sectPr w:rsidR="001E6CDD" w:rsidSect="001E6C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6005"/>
    <w:rsid w:val="00001119"/>
    <w:rsid w:val="001E6CDD"/>
    <w:rsid w:val="004D75C2"/>
    <w:rsid w:val="008F6005"/>
    <w:rsid w:val="00E91DBD"/>
    <w:rsid w:val="16185433"/>
    <w:rsid w:val="20BB4814"/>
    <w:rsid w:val="37FD5A21"/>
    <w:rsid w:val="3C0F75FB"/>
    <w:rsid w:val="42867045"/>
    <w:rsid w:val="47C0523C"/>
    <w:rsid w:val="482F282D"/>
    <w:rsid w:val="62684144"/>
    <w:rsid w:val="712434EA"/>
    <w:rsid w:val="79463689"/>
    <w:rsid w:val="7A6030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895</Characters>
  <Application>Microsoft Office Word</Application>
  <DocSecurity>0</DocSecurity>
  <Lines>7</Lines>
  <Paragraphs>2</Paragraphs>
  <ScaleCrop>false</ScaleCrop>
  <Company>GJRCB</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王静霞</dc:creator>
  <cp:lastModifiedBy>办公室</cp:lastModifiedBy>
  <cp:revision>2</cp:revision>
  <dcterms:created xsi:type="dcterms:W3CDTF">2024-06-05T09:19:00Z</dcterms:created>
  <dcterms:modified xsi:type="dcterms:W3CDTF">2024-06-05T09:19:00Z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